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7B752">
      <w:pPr>
        <w:jc w:val="center"/>
        <w:rPr>
          <w:rFonts w:hint="eastAsia" w:ascii="宋体" w:hAnsi="宋体" w:eastAsia="宋体" w:cs="宋体"/>
          <w:b/>
          <w:bCs/>
          <w:sz w:val="28"/>
          <w:szCs w:val="28"/>
        </w:rPr>
      </w:pPr>
      <w:r>
        <w:rPr>
          <w:rFonts w:hint="eastAsia"/>
          <w:b/>
          <w:bCs/>
          <w:sz w:val="28"/>
          <w:szCs w:val="28"/>
          <w:lang w:val="en-US" w:eastAsia="zh-CN"/>
        </w:rPr>
        <w:t>附件：</w:t>
      </w:r>
      <w:r>
        <w:rPr>
          <w:rFonts w:hint="eastAsia" w:ascii="宋体" w:hAnsi="宋体" w:eastAsia="宋体" w:cs="宋体"/>
          <w:b/>
          <w:bCs/>
          <w:sz w:val="28"/>
          <w:szCs w:val="28"/>
        </w:rPr>
        <w:t>江南大学图书馆2026年特色数据库服务</w:t>
      </w:r>
      <w:r>
        <w:rPr>
          <w:rFonts w:hint="eastAsia" w:ascii="宋体" w:hAnsi="宋体" w:eastAsia="宋体" w:cs="宋体"/>
          <w:b/>
          <w:bCs/>
          <w:sz w:val="28"/>
          <w:szCs w:val="28"/>
          <w:lang w:val="en-US" w:eastAsia="zh-CN"/>
        </w:rPr>
        <w:t>询价</w:t>
      </w:r>
      <w:r>
        <w:rPr>
          <w:rFonts w:hint="eastAsia" w:ascii="宋体" w:hAnsi="宋体" w:eastAsia="宋体" w:cs="宋体"/>
          <w:b/>
          <w:bCs/>
          <w:sz w:val="28"/>
          <w:szCs w:val="28"/>
        </w:rPr>
        <w:t>采购</w:t>
      </w:r>
    </w:p>
    <w:p w14:paraId="72B21536">
      <w:p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项目内容与技术要求</w:t>
      </w:r>
    </w:p>
    <w:p w14:paraId="75AE4560">
      <w:pPr>
        <w:rPr>
          <w:rFonts w:hint="eastAsia"/>
          <w:lang w:val="en-US" w:eastAsia="zh-CN"/>
        </w:rPr>
      </w:pPr>
    </w:p>
    <w:p w14:paraId="3F1A3839">
      <w:pPr>
        <w:rPr>
          <w:rFonts w:hint="eastAsia"/>
          <w:b/>
          <w:bCs/>
          <w:sz w:val="24"/>
          <w:szCs w:val="24"/>
          <w:lang w:val="en-US" w:eastAsia="zh-CN"/>
        </w:rPr>
      </w:pPr>
      <w:r>
        <w:rPr>
          <w:rFonts w:hint="eastAsia"/>
          <w:b/>
          <w:bCs/>
          <w:sz w:val="24"/>
          <w:szCs w:val="24"/>
          <w:lang w:val="en-US" w:eastAsia="zh-CN"/>
        </w:rPr>
        <w:t>一、采购内容</w:t>
      </w:r>
    </w:p>
    <w:p w14:paraId="2D997FA3">
      <w:pPr>
        <w:spacing w:before="0" w:after="120" w:line="384" w:lineRule="auto"/>
        <w:ind w:left="0" w:right="0" w:firstLine="480"/>
        <w:jc w:val="both"/>
        <w:rPr>
          <w:rFonts w:hint="eastAsia" w:ascii="Times New Roman" w:hAnsi="Times New Roman" w:eastAsia="宋体" w:cs="宋体"/>
          <w:color w:val="000000"/>
          <w:sz w:val="24"/>
          <w:lang w:val="en-US" w:eastAsia="zh-CN"/>
        </w:rPr>
      </w:pPr>
      <w:r>
        <w:rPr>
          <w:rFonts w:hint="eastAsia" w:ascii="Times New Roman" w:hAnsi="Times New Roman" w:eastAsia="宋体" w:cs="宋体"/>
          <w:color w:val="000000"/>
          <w:sz w:val="24"/>
          <w:lang w:val="en-US" w:eastAsia="zh-CN"/>
        </w:rPr>
        <w:t>基于云服务的《江南大学学位论文数据库》和《</w:t>
      </w:r>
      <w:r>
        <w:rPr>
          <w:rFonts w:hint="eastAsia" w:ascii="Times New Roman" w:hAnsi="Times New Roman" w:eastAsia="宋体" w:cs="宋体"/>
          <w:color w:val="000000"/>
          <w:sz w:val="24"/>
        </w:rPr>
        <w:t>汉民族民间服饰特色数据库</w:t>
      </w:r>
      <w:r>
        <w:rPr>
          <w:rFonts w:hint="eastAsia" w:ascii="Times New Roman" w:hAnsi="Times New Roman" w:eastAsia="宋体" w:cs="宋体"/>
          <w:color w:val="000000"/>
          <w:sz w:val="24"/>
          <w:lang w:val="en-US" w:eastAsia="zh-CN"/>
        </w:rPr>
        <w:t>》（不分包采购）。其中，《江南大学学位论文数据库》题录数据不低于33300条、全文不低于33200条，以PDF全文为主体；《汉民族民间服饰特色数据库》以中国汉民族民间地区的服饰实物图片为主（不低于1000张），包括</w:t>
      </w:r>
      <w:r>
        <w:rPr>
          <w:rFonts w:hint="eastAsia" w:ascii="Times New Roman" w:hAnsi="Times New Roman" w:eastAsia="宋体" w:cs="宋体"/>
          <w:color w:val="000000"/>
          <w:sz w:val="24"/>
        </w:rPr>
        <w:t>“北国风华”“中原风尚”“江淮风韵”“闽南风貌”“边疆风采”</w:t>
      </w:r>
      <w:r>
        <w:rPr>
          <w:rFonts w:hint="eastAsia" w:ascii="Times New Roman" w:hAnsi="Times New Roman" w:eastAsia="宋体" w:cs="宋体"/>
          <w:color w:val="000000"/>
          <w:sz w:val="24"/>
          <w:lang w:val="en-US" w:eastAsia="zh-CN"/>
        </w:rPr>
        <w:t>等区域，另含PDF全文型的电子图书（不低于650部）、期刊论文（不低于5400篇）、会议论文（不低于100篇）及资源导航（不低于150条）及相应元数据。</w:t>
      </w:r>
    </w:p>
    <w:p w14:paraId="057FA7DD">
      <w:pPr>
        <w:spacing w:before="0" w:after="120" w:line="384" w:lineRule="auto"/>
        <w:ind w:left="0" w:right="0" w:firstLine="480"/>
        <w:jc w:val="both"/>
        <w:rPr>
          <w:rFonts w:hint="eastAsia" w:ascii="Times New Roman" w:hAnsi="Times New Roman" w:eastAsia="宋体" w:cs="宋体"/>
          <w:color w:val="000000"/>
          <w:sz w:val="24"/>
          <w:lang w:val="en-US" w:eastAsia="zh-CN"/>
        </w:rPr>
      </w:pPr>
    </w:p>
    <w:p w14:paraId="705BC14C">
      <w:pPr>
        <w:rPr>
          <w:rFonts w:hint="default"/>
          <w:b/>
          <w:bCs/>
          <w:sz w:val="24"/>
          <w:szCs w:val="24"/>
          <w:lang w:val="en-US" w:eastAsia="zh-CN"/>
        </w:rPr>
      </w:pPr>
      <w:r>
        <w:rPr>
          <w:rFonts w:hint="eastAsia"/>
          <w:b/>
          <w:bCs/>
          <w:sz w:val="24"/>
          <w:szCs w:val="24"/>
          <w:lang w:val="en-US" w:eastAsia="zh-CN"/>
        </w:rPr>
        <w:t>二、技术与功能要求</w:t>
      </w:r>
    </w:p>
    <w:p w14:paraId="3621831B">
      <w:pPr>
        <w:spacing w:before="0" w:after="120" w:line="384" w:lineRule="auto"/>
        <w:ind w:left="0" w:right="0" w:firstLine="480"/>
        <w:jc w:val="both"/>
        <w:rPr>
          <w:rFonts w:hint="eastAsia" w:ascii="Times New Roman" w:hAnsi="Times New Roman" w:eastAsia="宋体" w:cs="宋体"/>
          <w:color w:val="000000"/>
          <w:sz w:val="24"/>
          <w:lang w:val="en-US" w:eastAsia="zh-CN"/>
        </w:rPr>
      </w:pPr>
      <w:r>
        <w:rPr>
          <w:rFonts w:hint="eastAsia" w:ascii="Times New Roman" w:hAnsi="Times New Roman" w:eastAsia="宋体" w:cs="宋体"/>
          <w:color w:val="000000"/>
          <w:sz w:val="24"/>
          <w:lang w:val="en-US" w:eastAsia="zh-CN"/>
        </w:rPr>
        <w:t>1、部署在供应商云平台上，以云存储方式提供服务，存储空间至少600G，预留合计1T。采用独立实例（或独立租户）与独立数据库部署，与供应商其他客户资源逻辑隔离；同时，能兼容对接和迁移江南大学现有本地化</w:t>
      </w:r>
      <w:r>
        <w:rPr>
          <w:rFonts w:hint="eastAsia" w:ascii="Times New Roman" w:hAnsi="Times New Roman" w:eastAsia="宋体" w:cs="宋体"/>
          <w:color w:val="000000"/>
          <w:sz w:val="24"/>
        </w:rPr>
        <w:t>清华同方TPI系统</w:t>
      </w:r>
      <w:r>
        <w:rPr>
          <w:rFonts w:hint="eastAsia" w:ascii="Times New Roman" w:hAnsi="Times New Roman" w:eastAsia="宋体" w:cs="宋体"/>
          <w:color w:val="000000"/>
          <w:sz w:val="24"/>
          <w:lang w:val="en-US" w:eastAsia="zh-CN"/>
        </w:rPr>
        <w:t>数字资源。</w:t>
      </w:r>
    </w:p>
    <w:p w14:paraId="0D3E0D80">
      <w:pPr>
        <w:spacing w:before="0" w:after="120" w:line="384" w:lineRule="auto"/>
        <w:ind w:left="0" w:right="0" w:firstLine="480"/>
        <w:jc w:val="both"/>
        <w:rPr>
          <w:rFonts w:hint="eastAsia" w:ascii="Times New Roman" w:hAnsi="Times New Roman" w:eastAsia="宋体" w:cs="宋体"/>
          <w:color w:val="000000"/>
          <w:sz w:val="24"/>
          <w:lang w:val="en-US" w:eastAsia="zh-CN"/>
        </w:rPr>
      </w:pPr>
      <w:r>
        <w:rPr>
          <w:rFonts w:hint="eastAsia" w:ascii="Times New Roman" w:hAnsi="Times New Roman" w:eastAsia="宋体" w:cs="宋体"/>
          <w:color w:val="000000"/>
          <w:sz w:val="24"/>
          <w:lang w:val="en-US" w:eastAsia="zh-CN"/>
        </w:rPr>
        <w:t>2、支持简单检索与高级检索；支持多字段组合检索、模糊匹配与精确匹配、并且/或者逻辑组配；支持全文检索、二次检索、检索结果排序与分面筛选；支持跨栏目、跨库统一检索。</w:t>
      </w:r>
    </w:p>
    <w:p w14:paraId="38EA284D">
      <w:pPr>
        <w:spacing w:before="0" w:after="120" w:line="384" w:lineRule="auto"/>
        <w:ind w:left="0" w:right="0" w:firstLine="480"/>
        <w:jc w:val="both"/>
        <w:rPr>
          <w:rFonts w:hint="eastAsia" w:ascii="Times New Roman" w:hAnsi="Times New Roman" w:eastAsia="宋体" w:cs="宋体"/>
          <w:color w:val="000000"/>
          <w:sz w:val="24"/>
          <w:lang w:val="en-US" w:eastAsia="zh-CN"/>
        </w:rPr>
      </w:pPr>
      <w:r>
        <w:rPr>
          <w:rFonts w:hint="eastAsia" w:ascii="Times New Roman" w:hAnsi="Times New Roman" w:eastAsia="宋体" w:cs="宋体"/>
          <w:color w:val="000000"/>
          <w:sz w:val="24"/>
          <w:lang w:val="en-US" w:eastAsia="zh-CN"/>
        </w:rPr>
        <w:t>3、学位论文库具备按学院、专业、年份、学位层次等维度的分类浏览功能；服饰库具备图片缩略图列表、大图浏览、多图切换等浏览方式。</w:t>
      </w:r>
    </w:p>
    <w:p w14:paraId="68449DB5">
      <w:pPr>
        <w:spacing w:before="0" w:after="120" w:line="384" w:lineRule="auto"/>
        <w:ind w:left="0" w:right="0" w:firstLine="480"/>
        <w:jc w:val="both"/>
        <w:rPr>
          <w:rFonts w:hint="eastAsia" w:ascii="Times New Roman" w:hAnsi="Times New Roman" w:eastAsia="宋体" w:cs="宋体"/>
          <w:color w:val="000000"/>
          <w:sz w:val="24"/>
          <w:lang w:eastAsia="zh-CN"/>
        </w:rPr>
      </w:pPr>
      <w:r>
        <w:rPr>
          <w:rFonts w:hint="eastAsia" w:ascii="Times New Roman" w:hAnsi="Times New Roman" w:eastAsia="宋体" w:cs="宋体"/>
          <w:color w:val="000000"/>
          <w:sz w:val="24"/>
          <w:lang w:val="en-US" w:eastAsia="zh-CN"/>
        </w:rPr>
        <w:t>4、</w:t>
      </w:r>
      <w:r>
        <w:rPr>
          <w:rFonts w:hint="eastAsia" w:ascii="Times New Roman" w:hAnsi="Times New Roman" w:eastAsia="宋体" w:cs="宋体"/>
          <w:color w:val="000000"/>
          <w:sz w:val="24"/>
        </w:rPr>
        <w:t>提供访问量、检索量、检索词、浏览量、下载量、资源上传统计量等统计功能，支持按时间、栏目、学院、学位层次等多维度统计与报表导出</w:t>
      </w:r>
      <w:r>
        <w:rPr>
          <w:rFonts w:hint="eastAsia" w:ascii="Times New Roman" w:hAnsi="Times New Roman" w:eastAsia="宋体" w:cs="宋体"/>
          <w:color w:val="000000"/>
          <w:sz w:val="24"/>
          <w:lang w:eastAsia="zh-CN"/>
        </w:rPr>
        <w:t>。</w:t>
      </w:r>
    </w:p>
    <w:p w14:paraId="4B202774">
      <w:pPr>
        <w:spacing w:before="0" w:after="120" w:line="384" w:lineRule="auto"/>
        <w:ind w:left="0" w:right="0" w:firstLine="480"/>
        <w:jc w:val="both"/>
        <w:rPr>
          <w:rFonts w:hint="default" w:ascii="Times New Roman" w:hAnsi="Times New Roman" w:eastAsia="宋体" w:cs="宋体"/>
          <w:color w:val="000000"/>
          <w:sz w:val="24"/>
          <w:lang w:val="en-US" w:eastAsia="zh-CN"/>
        </w:rPr>
      </w:pPr>
      <w:r>
        <w:rPr>
          <w:rFonts w:hint="eastAsia" w:ascii="Times New Roman" w:hAnsi="Times New Roman" w:eastAsia="宋体" w:cs="宋体"/>
          <w:color w:val="000000"/>
          <w:sz w:val="24"/>
          <w:lang w:val="en-US" w:eastAsia="zh-CN"/>
        </w:rPr>
        <w:t>5、提供管理员后台，支持数据上传与批量导入（元数据与全文文件批量挂接）、元数据编目与修改、栏目与分类管理、页面内容维护、用户与角色权限管理、发布审核、备份任务管理、统计报表查看、操作日志查询。管理员仅可在校园网IP地址段内登录后台，采用“IP白名单＋账号口令＋动态验证码（或等效双因素认证）”方式认证，管理员操作全程留痕。</w:t>
      </w:r>
    </w:p>
    <w:p w14:paraId="1DA75002">
      <w:pPr>
        <w:spacing w:before="0" w:after="120" w:line="384" w:lineRule="auto"/>
        <w:ind w:left="0" w:right="0" w:firstLine="480"/>
        <w:jc w:val="both"/>
        <w:rPr>
          <w:rFonts w:hint="eastAsia" w:ascii="Times New Roman" w:hAnsi="Times New Roman" w:eastAsia="宋体" w:cs="宋体"/>
          <w:color w:val="000000"/>
          <w:sz w:val="24"/>
        </w:rPr>
      </w:pPr>
      <w:r>
        <w:rPr>
          <w:rFonts w:hint="eastAsia" w:ascii="Times New Roman" w:hAnsi="Times New Roman" w:eastAsia="宋体" w:cs="宋体"/>
          <w:color w:val="000000"/>
          <w:sz w:val="24"/>
          <w:lang w:val="en-US" w:eastAsia="zh-CN"/>
        </w:rPr>
        <w:t>6、</w:t>
      </w:r>
      <w:r>
        <w:rPr>
          <w:rFonts w:hint="eastAsia" w:ascii="Times New Roman" w:hAnsi="Times New Roman" w:eastAsia="宋体" w:cs="宋体"/>
          <w:color w:val="000000"/>
          <w:sz w:val="24"/>
        </w:rPr>
        <w:t>支持标准元数据导入导出（Excel、CSV、XML等常用格式），支持全文文件按原目录结构批量导出，支持向采购人指定的本地存储或第三方系统交付全量数据，不得设置导出限制或技术壁垒。</w:t>
      </w:r>
    </w:p>
    <w:p w14:paraId="00000034">
      <w:pPr>
        <w:spacing w:before="0" w:after="120" w:line="384" w:lineRule="auto"/>
        <w:ind w:left="0" w:right="0" w:firstLine="480"/>
        <w:jc w:val="both"/>
        <w:rPr>
          <w:rFonts w:hint="eastAsia" w:ascii="Times New Roman" w:hAnsi="Times New Roman" w:eastAsia="宋体" w:cs="宋体"/>
          <w:color w:val="000000"/>
          <w:sz w:val="24"/>
        </w:rPr>
      </w:pPr>
      <w:r>
        <w:rPr>
          <w:rFonts w:hint="eastAsia" w:ascii="Times New Roman" w:hAnsi="Times New Roman" w:eastAsia="宋体" w:cs="宋体"/>
          <w:color w:val="000000"/>
          <w:sz w:val="24"/>
          <w:lang w:val="en-US" w:eastAsia="zh-CN"/>
        </w:rPr>
        <w:t>7、</w:t>
      </w:r>
      <w:r>
        <w:rPr>
          <w:rFonts w:hint="eastAsia" w:ascii="Times New Roman" w:hAnsi="Times New Roman" w:eastAsia="宋体" w:cs="宋体"/>
          <w:color w:val="000000"/>
          <w:sz w:val="24"/>
        </w:rPr>
        <w:t>校内用户通过江南大学校园网IP地址段直接访问，校外用户通过江南大学校园VPN接入后访问；供应商须支持按采购人提供的IPv4/IPv6地址段进行批量配置与动态更新。未经采购人书面同意，</w:t>
      </w:r>
      <w:r>
        <w:rPr>
          <w:rFonts w:hint="eastAsia" w:ascii="Times New Roman" w:hAnsi="Times New Roman" w:eastAsia="宋体" w:cs="宋体"/>
          <w:color w:val="000000"/>
          <w:sz w:val="24"/>
          <w:lang w:val="en-US" w:eastAsia="zh-CN"/>
        </w:rPr>
        <w:t>供应商</w:t>
      </w:r>
      <w:r>
        <w:rPr>
          <w:rFonts w:hint="eastAsia" w:ascii="Times New Roman" w:hAnsi="Times New Roman" w:eastAsia="宋体" w:cs="宋体"/>
          <w:color w:val="000000"/>
          <w:sz w:val="24"/>
        </w:rPr>
        <w:t>不得在互联网上开放面向社会公众的检索入口，不得将资源镜像、转售或向第三方提供。</w:t>
      </w:r>
    </w:p>
    <w:p w14:paraId="6540C5EB">
      <w:pPr>
        <w:rPr>
          <w:rFonts w:hint="eastAsia"/>
          <w:b/>
          <w:bCs/>
          <w:sz w:val="24"/>
          <w:szCs w:val="24"/>
          <w:lang w:val="en-US" w:eastAsia="zh-CN"/>
        </w:rPr>
      </w:pPr>
    </w:p>
    <w:p w14:paraId="0B8E8A05">
      <w:pPr>
        <w:rPr>
          <w:rFonts w:hint="default"/>
          <w:b/>
          <w:bCs/>
          <w:sz w:val="24"/>
          <w:szCs w:val="24"/>
          <w:lang w:val="en-US" w:eastAsia="zh-CN"/>
        </w:rPr>
      </w:pPr>
      <w:r>
        <w:rPr>
          <w:rFonts w:hint="eastAsia"/>
          <w:b/>
          <w:bCs/>
          <w:sz w:val="24"/>
          <w:szCs w:val="24"/>
          <w:lang w:val="en-US" w:eastAsia="zh-CN"/>
        </w:rPr>
        <w:t>三、网络安全与合规要求</w:t>
      </w:r>
    </w:p>
    <w:p w14:paraId="0000003D">
      <w:pPr>
        <w:spacing w:before="0" w:after="120" w:line="384" w:lineRule="auto"/>
        <w:ind w:left="0" w:right="0" w:firstLine="480"/>
        <w:jc w:val="both"/>
        <w:rPr>
          <w:color w:val="000000"/>
        </w:rPr>
      </w:pPr>
      <w:r>
        <w:rPr>
          <w:rFonts w:hint="eastAsia" w:ascii="Times New Roman" w:hAnsi="Times New Roman" w:eastAsia="宋体" w:cs="宋体"/>
          <w:color w:val="000000"/>
          <w:sz w:val="24"/>
        </w:rPr>
        <w:t>1. 供应商须承诺本项目所涉数据的存</w:t>
      </w:r>
      <w:bookmarkStart w:id="0" w:name="_GoBack"/>
      <w:bookmarkEnd w:id="0"/>
      <w:r>
        <w:rPr>
          <w:rFonts w:hint="eastAsia" w:ascii="Times New Roman" w:hAnsi="Times New Roman" w:eastAsia="宋体" w:cs="宋体"/>
          <w:color w:val="000000"/>
          <w:sz w:val="24"/>
        </w:rPr>
        <w:t>储、处理均在中华人民共和国境内完成，不得存放于境外节点，不得向境外传输。本项目所涉数据及内容资源归江南大学所有，供应商不得复制、传播、转让或用于本项目之外的任何用途，后续中标供应商须签署保密协议。</w:t>
      </w:r>
    </w:p>
    <w:p w14:paraId="4D2FD0E6">
      <w:pPr>
        <w:spacing w:before="0" w:after="120" w:line="384" w:lineRule="auto"/>
        <w:ind w:left="0" w:right="0" w:firstLine="480"/>
        <w:jc w:val="both"/>
        <w:rPr>
          <w:rFonts w:hint="eastAsia" w:ascii="Times New Roman" w:hAnsi="Times New Roman" w:eastAsia="宋体" w:cs="宋体"/>
          <w:color w:val="000000"/>
          <w:sz w:val="24"/>
          <w:lang w:eastAsia="zh-CN"/>
        </w:rPr>
      </w:pPr>
      <w:r>
        <w:rPr>
          <w:rFonts w:hint="eastAsia" w:ascii="Times New Roman" w:hAnsi="Times New Roman" w:eastAsia="宋体" w:cs="宋体"/>
          <w:color w:val="000000"/>
          <w:sz w:val="24"/>
        </w:rPr>
        <w:t xml:space="preserve">2. </w:t>
      </w:r>
      <w:r>
        <w:rPr>
          <w:rFonts w:hint="eastAsia" w:ascii="Times New Roman" w:hAnsi="Times New Roman" w:eastAsia="宋体" w:cs="宋体"/>
          <w:color w:val="000000"/>
          <w:sz w:val="24"/>
          <w:lang w:val="en-US" w:eastAsia="zh-CN"/>
        </w:rPr>
        <w:t>特色库资源云平台的</w:t>
      </w:r>
      <w:r>
        <w:rPr>
          <w:rFonts w:hint="eastAsia" w:ascii="Times New Roman" w:hAnsi="Times New Roman" w:eastAsia="宋体" w:cs="宋体"/>
          <w:color w:val="000000"/>
          <w:sz w:val="24"/>
        </w:rPr>
        <w:t>安全防护</w:t>
      </w:r>
      <w:r>
        <w:rPr>
          <w:rFonts w:hint="eastAsia" w:ascii="Times New Roman" w:hAnsi="Times New Roman" w:eastAsia="宋体" w:cs="宋体"/>
          <w:color w:val="000000"/>
          <w:sz w:val="24"/>
          <w:lang w:val="en-US" w:eastAsia="zh-CN"/>
        </w:rPr>
        <w:t>应</w:t>
      </w:r>
      <w:r>
        <w:rPr>
          <w:rFonts w:hint="eastAsia" w:ascii="Times New Roman" w:hAnsi="Times New Roman" w:eastAsia="宋体" w:cs="宋体"/>
          <w:color w:val="000000"/>
          <w:sz w:val="24"/>
        </w:rPr>
        <w:t>落实《中华人民共和国网络安全法》《中华人民共和国数据安全法》《中华人民共和国个人信息保护法》及教育行业、学校网络安全管理制度的相关规定</w:t>
      </w:r>
      <w:r>
        <w:rPr>
          <w:rFonts w:hint="eastAsia" w:ascii="Times New Roman" w:hAnsi="Times New Roman" w:eastAsia="宋体" w:cs="宋体"/>
          <w:color w:val="000000"/>
          <w:sz w:val="24"/>
          <w:lang w:eastAsia="zh-CN"/>
        </w:rPr>
        <w:t>，</w:t>
      </w:r>
      <w:r>
        <w:rPr>
          <w:rFonts w:hint="eastAsia" w:ascii="Times New Roman" w:hAnsi="Times New Roman" w:eastAsia="宋体" w:cs="宋体"/>
          <w:color w:val="000000"/>
          <w:sz w:val="24"/>
          <w:lang w:val="en-US" w:eastAsia="zh-CN"/>
        </w:rPr>
        <w:t>根据</w:t>
      </w:r>
      <w:r>
        <w:rPr>
          <w:rFonts w:hint="eastAsia" w:ascii="Times New Roman" w:hAnsi="Times New Roman" w:eastAsia="宋体" w:cs="宋体"/>
          <w:color w:val="000000"/>
          <w:sz w:val="24"/>
        </w:rPr>
        <w:t>学校要求</w:t>
      </w:r>
      <w:r>
        <w:rPr>
          <w:rFonts w:hint="eastAsia" w:ascii="Times New Roman" w:hAnsi="Times New Roman" w:eastAsia="宋体" w:cs="宋体"/>
          <w:color w:val="000000"/>
          <w:sz w:val="24"/>
          <w:lang w:val="en-US" w:eastAsia="zh-CN"/>
        </w:rPr>
        <w:t>提供</w:t>
      </w:r>
      <w:r>
        <w:rPr>
          <w:rFonts w:hint="eastAsia" w:ascii="Times New Roman" w:hAnsi="Times New Roman" w:eastAsia="宋体" w:cs="宋体"/>
          <w:color w:val="000000"/>
          <w:sz w:val="24"/>
        </w:rPr>
        <w:t>《网络安全承诺书》</w:t>
      </w:r>
      <w:r>
        <w:rPr>
          <w:rFonts w:hint="eastAsia" w:ascii="Times New Roman" w:hAnsi="Times New Roman" w:eastAsia="宋体" w:cs="宋体"/>
          <w:color w:val="000000"/>
          <w:sz w:val="24"/>
          <w:lang w:eastAsia="zh-CN"/>
        </w:rPr>
        <w:t>。</w:t>
      </w:r>
    </w:p>
    <w:p w14:paraId="764A0E80">
      <w:pPr>
        <w:spacing w:before="0" w:after="120" w:line="384" w:lineRule="auto"/>
        <w:ind w:left="0" w:right="0" w:firstLine="480"/>
        <w:jc w:val="both"/>
        <w:rPr>
          <w:rFonts w:hint="eastAsia" w:ascii="Times New Roman" w:hAnsi="Times New Roman" w:eastAsia="宋体" w:cs="宋体"/>
          <w:color w:val="000000"/>
          <w:sz w:val="24"/>
          <w:lang w:eastAsia="zh-CN"/>
        </w:rPr>
      </w:pPr>
    </w:p>
    <w:p w14:paraId="2ED55152">
      <w:pPr>
        <w:keepNext w:val="0"/>
        <w:keepLines w:val="0"/>
        <w:pageBreakBefore w:val="0"/>
        <w:widowControl w:val="0"/>
        <w:numPr>
          <w:ilvl w:val="0"/>
          <w:numId w:val="1"/>
        </w:numPr>
        <w:kinsoku/>
        <w:wordWrap/>
        <w:overflowPunct/>
        <w:topLinePunct w:val="0"/>
        <w:autoSpaceDE/>
        <w:autoSpaceDN/>
        <w:bidi w:val="0"/>
        <w:adjustRightInd/>
        <w:snapToGrid/>
        <w:textAlignment w:val="auto"/>
        <w:rPr>
          <w:rFonts w:hint="eastAsia"/>
          <w:b/>
          <w:bCs/>
          <w:sz w:val="24"/>
          <w:szCs w:val="24"/>
          <w:lang w:val="en-US" w:eastAsia="zh-CN"/>
        </w:rPr>
      </w:pPr>
      <w:r>
        <w:rPr>
          <w:rFonts w:hint="eastAsia"/>
          <w:b/>
          <w:bCs/>
          <w:sz w:val="24"/>
          <w:szCs w:val="24"/>
          <w:lang w:val="en-US" w:eastAsia="zh-CN"/>
        </w:rPr>
        <w:t>报价要求</w:t>
      </w:r>
    </w:p>
    <w:p w14:paraId="0BF01E3B">
      <w:pPr>
        <w:spacing w:before="0" w:after="120" w:line="384" w:lineRule="auto"/>
        <w:ind w:left="0" w:right="0" w:firstLine="480"/>
        <w:jc w:val="both"/>
        <w:rPr>
          <w:rFonts w:hint="default" w:ascii="Times New Roman" w:hAnsi="Times New Roman" w:eastAsia="宋体" w:cs="宋体"/>
          <w:color w:val="000000"/>
          <w:sz w:val="24"/>
          <w:lang w:val="en-US" w:eastAsia="zh-CN"/>
        </w:rPr>
      </w:pPr>
      <w:r>
        <w:rPr>
          <w:rFonts w:hint="eastAsia" w:ascii="Times New Roman" w:hAnsi="Times New Roman" w:eastAsia="宋体" w:cs="宋体"/>
          <w:color w:val="000000"/>
          <w:sz w:val="24"/>
        </w:rPr>
        <w:t>供应商报价须采用人民币含税总价</w:t>
      </w:r>
      <w:r>
        <w:rPr>
          <w:rFonts w:hint="eastAsia" w:ascii="Times New Roman" w:hAnsi="Times New Roman" w:eastAsia="宋体" w:cs="宋体"/>
          <w:color w:val="000000"/>
          <w:sz w:val="24"/>
          <w:lang w:eastAsia="zh-CN"/>
        </w:rPr>
        <w:t>，</w:t>
      </w:r>
      <w:r>
        <w:rPr>
          <w:rFonts w:hint="eastAsia" w:ascii="Times New Roman" w:hAnsi="Times New Roman" w:eastAsia="宋体" w:cs="宋体"/>
          <w:color w:val="000000"/>
          <w:sz w:val="24"/>
          <w:lang w:val="en-US" w:eastAsia="zh-CN"/>
        </w:rPr>
        <w:t>报价方案</w:t>
      </w:r>
      <w:r>
        <w:rPr>
          <w:rFonts w:hint="eastAsia" w:ascii="Times New Roman" w:hAnsi="Times New Roman" w:eastAsia="宋体" w:cs="宋体"/>
          <w:color w:val="000000"/>
          <w:sz w:val="24"/>
        </w:rPr>
        <w:t>分为</w:t>
      </w:r>
      <w:r>
        <w:rPr>
          <w:rFonts w:hint="eastAsia" w:ascii="Times New Roman" w:hAnsi="Times New Roman" w:eastAsia="宋体" w:cs="宋体"/>
          <w:color w:val="000000"/>
          <w:sz w:val="24"/>
          <w:lang w:val="en-US" w:eastAsia="zh-CN"/>
        </w:rPr>
        <w:t>一次性建设费用和年度资源服务费（需注明年度服务费起始年）两</w:t>
      </w:r>
      <w:r>
        <w:rPr>
          <w:rFonts w:hint="eastAsia" w:ascii="Times New Roman" w:hAnsi="Times New Roman" w:eastAsia="宋体" w:cs="宋体"/>
          <w:color w:val="000000"/>
          <w:sz w:val="24"/>
        </w:rPr>
        <w:t>部分</w:t>
      </w:r>
      <w:r>
        <w:rPr>
          <w:rFonts w:hint="eastAsia" w:ascii="Times New Roman" w:hAnsi="Times New Roman" w:eastAsia="宋体" w:cs="宋体"/>
          <w:color w:val="000000"/>
          <w:sz w:val="24"/>
          <w:lang w:eastAsia="zh-CN"/>
        </w:rPr>
        <w:t>。</w:t>
      </w:r>
      <w:r>
        <w:rPr>
          <w:rFonts w:hint="eastAsia" w:ascii="Times New Roman" w:hAnsi="Times New Roman" w:eastAsia="宋体" w:cs="宋体"/>
          <w:color w:val="000000"/>
          <w:sz w:val="24"/>
          <w:lang w:val="en-US" w:eastAsia="zh-CN"/>
        </w:rPr>
        <w:t>供应商可根据自身情况提供多种不同的一次性建设和年度服务组配报价方案。</w:t>
      </w:r>
    </w:p>
    <w:p w14:paraId="77F01BB0">
      <w:pPr>
        <w:spacing w:before="0" w:after="120" w:line="384" w:lineRule="auto"/>
        <w:ind w:right="0"/>
        <w:jc w:val="both"/>
        <w:rPr>
          <w:rFonts w:hint="eastAsia" w:ascii="Times New Roman" w:hAnsi="Times New Roman" w:eastAsia="宋体" w:cs="宋体"/>
          <w:color w:val="000000"/>
          <w:sz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BB3A0D"/>
    <w:multiLevelType w:val="singleLevel"/>
    <w:tmpl w:val="58BB3A0D"/>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9912A6"/>
    <w:rsid w:val="01686A1C"/>
    <w:rsid w:val="01E8189D"/>
    <w:rsid w:val="0246639D"/>
    <w:rsid w:val="028F4BF4"/>
    <w:rsid w:val="02D06B11"/>
    <w:rsid w:val="03A005FA"/>
    <w:rsid w:val="067247BF"/>
    <w:rsid w:val="06960A07"/>
    <w:rsid w:val="075D44E3"/>
    <w:rsid w:val="08930158"/>
    <w:rsid w:val="091D2F34"/>
    <w:rsid w:val="093D73B2"/>
    <w:rsid w:val="0BA77720"/>
    <w:rsid w:val="0CD007B5"/>
    <w:rsid w:val="0D396340"/>
    <w:rsid w:val="0DDA4284"/>
    <w:rsid w:val="0ED03815"/>
    <w:rsid w:val="106A21D4"/>
    <w:rsid w:val="10C15BE2"/>
    <w:rsid w:val="11B020BB"/>
    <w:rsid w:val="12D73D4F"/>
    <w:rsid w:val="143747E1"/>
    <w:rsid w:val="14BE1FD0"/>
    <w:rsid w:val="15AE1FBC"/>
    <w:rsid w:val="165C0DD7"/>
    <w:rsid w:val="177B3CD4"/>
    <w:rsid w:val="1A0B231F"/>
    <w:rsid w:val="1ABF262B"/>
    <w:rsid w:val="1B212FBC"/>
    <w:rsid w:val="1B794540"/>
    <w:rsid w:val="1B9912A6"/>
    <w:rsid w:val="1C633F57"/>
    <w:rsid w:val="1EA336CC"/>
    <w:rsid w:val="1ECE45E5"/>
    <w:rsid w:val="1EFC7FD2"/>
    <w:rsid w:val="1F741483"/>
    <w:rsid w:val="1FEE3935"/>
    <w:rsid w:val="20574160"/>
    <w:rsid w:val="20B010AC"/>
    <w:rsid w:val="22024CC3"/>
    <w:rsid w:val="223976C9"/>
    <w:rsid w:val="23433036"/>
    <w:rsid w:val="2381392A"/>
    <w:rsid w:val="24BA68B5"/>
    <w:rsid w:val="25922A52"/>
    <w:rsid w:val="25A01D68"/>
    <w:rsid w:val="2626616A"/>
    <w:rsid w:val="265F660A"/>
    <w:rsid w:val="26980302"/>
    <w:rsid w:val="27C0718B"/>
    <w:rsid w:val="27C34857"/>
    <w:rsid w:val="281C1900"/>
    <w:rsid w:val="29755458"/>
    <w:rsid w:val="2A487A95"/>
    <w:rsid w:val="2B135B36"/>
    <w:rsid w:val="2DC323BB"/>
    <w:rsid w:val="2E8E3245"/>
    <w:rsid w:val="2ED660CE"/>
    <w:rsid w:val="2EE802E1"/>
    <w:rsid w:val="2F9D19F8"/>
    <w:rsid w:val="310C7F76"/>
    <w:rsid w:val="31672616"/>
    <w:rsid w:val="31DF3D72"/>
    <w:rsid w:val="33711D95"/>
    <w:rsid w:val="340333C7"/>
    <w:rsid w:val="34D31265"/>
    <w:rsid w:val="398B5152"/>
    <w:rsid w:val="3A075050"/>
    <w:rsid w:val="3A8A39FE"/>
    <w:rsid w:val="3AB611E1"/>
    <w:rsid w:val="3C45384D"/>
    <w:rsid w:val="3C9C76EB"/>
    <w:rsid w:val="3CDC4D94"/>
    <w:rsid w:val="3F5A4130"/>
    <w:rsid w:val="408C70E7"/>
    <w:rsid w:val="42F31101"/>
    <w:rsid w:val="435E44C6"/>
    <w:rsid w:val="452A7F28"/>
    <w:rsid w:val="45DC12F7"/>
    <w:rsid w:val="46D763A8"/>
    <w:rsid w:val="4905375F"/>
    <w:rsid w:val="493069D5"/>
    <w:rsid w:val="49F55836"/>
    <w:rsid w:val="4EEC6A65"/>
    <w:rsid w:val="545E52C0"/>
    <w:rsid w:val="546D0599"/>
    <w:rsid w:val="58405E6A"/>
    <w:rsid w:val="58D972BA"/>
    <w:rsid w:val="5A474BB5"/>
    <w:rsid w:val="5A621976"/>
    <w:rsid w:val="5CAE54D1"/>
    <w:rsid w:val="5D184F87"/>
    <w:rsid w:val="5EDB32F6"/>
    <w:rsid w:val="5FDA5A0D"/>
    <w:rsid w:val="60866883"/>
    <w:rsid w:val="60A754E2"/>
    <w:rsid w:val="62803763"/>
    <w:rsid w:val="649D51A3"/>
    <w:rsid w:val="655A2DC3"/>
    <w:rsid w:val="664577EC"/>
    <w:rsid w:val="672B0C50"/>
    <w:rsid w:val="69734BFA"/>
    <w:rsid w:val="69D51EAE"/>
    <w:rsid w:val="6A0F078C"/>
    <w:rsid w:val="6B2A5392"/>
    <w:rsid w:val="6BE01BE9"/>
    <w:rsid w:val="6D662AB3"/>
    <w:rsid w:val="6D8856A6"/>
    <w:rsid w:val="6F0B578C"/>
    <w:rsid w:val="71E218EA"/>
    <w:rsid w:val="726564C9"/>
    <w:rsid w:val="729434C7"/>
    <w:rsid w:val="75274A12"/>
    <w:rsid w:val="75C667AF"/>
    <w:rsid w:val="76752434"/>
    <w:rsid w:val="76DF56F0"/>
    <w:rsid w:val="771314FB"/>
    <w:rsid w:val="77CE4356"/>
    <w:rsid w:val="78425E48"/>
    <w:rsid w:val="79180AF7"/>
    <w:rsid w:val="79ED6E48"/>
    <w:rsid w:val="7CDA0F4B"/>
    <w:rsid w:val="7D434D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1206</Words>
  <Characters>1262</Characters>
  <Lines>0</Lines>
  <Paragraphs>0</Paragraphs>
  <TotalTime>14</TotalTime>
  <ScaleCrop>false</ScaleCrop>
  <LinksUpToDate>false</LinksUpToDate>
  <CharactersWithSpaces>1264</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2026-11-02T12:04:00Z</dcterms:created>
  <dc:creator>顾馆员</dc:creator>
  <cp:lastModifiedBy>顾馆员</cp:lastModifiedBy>
  <dcterms:modified xsi:type="dcterms:W3CDTF">2026-11-05T04:50:44Z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62D793C29F3C4295821BECD25A474A11_13</vt:lpwstr>
  </property>
  <property fmtid="{D5CDD505-2E9C-101B-9397-08002B2CF9AE}" pid="4" name="KSOTemplateDocerSaveRecord">
    <vt:lpwstr>eyJoZGlkIjoiNmFmMDZmNDRiZDY1ZWRjOWNkMjg3MGRlNmQyYTE1MzIiLCJ1c2VySWQiOiI0OTQ4NjEwMDQifQ==</vt:lpwstr>
  </property>
</Properties>
</file>